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3680" w14:textId="181890EC" w:rsidR="00B511BF" w:rsidRPr="00F64263" w:rsidRDefault="00B511BF">
      <w:pPr>
        <w:rPr>
          <w:rFonts w:ascii="Open Sans" w:hAnsi="Open Sans" w:cs="Open Sans"/>
          <w:b/>
        </w:rPr>
      </w:pPr>
      <w:r w:rsidRPr="00F64263">
        <w:rPr>
          <w:rFonts w:ascii="Open Sans" w:hAnsi="Open Sans" w:cs="Open Sans"/>
          <w:b/>
        </w:rPr>
        <w:t xml:space="preserve">Hurtig- AAC publications, </w:t>
      </w:r>
    </w:p>
    <w:p w14:paraId="7BAEB2AE" w14:textId="4BDDA742" w:rsidR="00B73628" w:rsidRPr="00F64263" w:rsidRDefault="00B511BF">
      <w:pPr>
        <w:rPr>
          <w:rFonts w:ascii="Open Sans" w:hAnsi="Open Sans" w:cs="Open Sans"/>
          <w:b/>
          <w:i/>
        </w:rPr>
      </w:pPr>
      <w:r w:rsidRPr="00F64263">
        <w:rPr>
          <w:rFonts w:ascii="Open Sans" w:hAnsi="Open Sans" w:cs="Open Sans"/>
          <w:b/>
          <w:i/>
        </w:rPr>
        <w:t xml:space="preserve">Refereed </w:t>
      </w:r>
      <w:r w:rsidR="0095126D" w:rsidRPr="00F64263">
        <w:rPr>
          <w:rFonts w:ascii="Open Sans" w:hAnsi="Open Sans" w:cs="Open Sans"/>
          <w:b/>
          <w:i/>
        </w:rPr>
        <w:t>articles</w:t>
      </w:r>
    </w:p>
    <w:p w14:paraId="03365966" w14:textId="77777777" w:rsidR="00B511BF" w:rsidRPr="00F64263" w:rsidRDefault="00B511BF">
      <w:pPr>
        <w:rPr>
          <w:rFonts w:ascii="Open Sans" w:hAnsi="Open Sans" w:cs="Open Sans"/>
        </w:rPr>
      </w:pPr>
    </w:p>
    <w:p w14:paraId="7DC19A59" w14:textId="6DD63537" w:rsidR="00B511BF" w:rsidRPr="00F64263" w:rsidRDefault="00B511BF" w:rsidP="00B511BF">
      <w:pPr>
        <w:widowControl w:val="0"/>
        <w:autoSpaceDE w:val="0"/>
        <w:autoSpaceDN w:val="0"/>
        <w:adjustRightInd w:val="0"/>
        <w:rPr>
          <w:rFonts w:ascii="Open Sans" w:hAnsi="Open Sans" w:cs="Open Sans"/>
        </w:rPr>
      </w:pPr>
      <w:r w:rsidRPr="00F64263">
        <w:rPr>
          <w:rFonts w:ascii="Open Sans" w:hAnsi="Open Sans" w:cs="Open Sans"/>
        </w:rPr>
        <w:t xml:space="preserve">Hurtig, R., Alper, R. M, &amp; Berkowitz, B., (2018) The Cost of Not Addressing the Communication Barriers Faced by Hospitalized Patients, </w:t>
      </w:r>
      <w:r w:rsidRPr="00F64263">
        <w:rPr>
          <w:rFonts w:ascii="Open Sans" w:hAnsi="Open Sans" w:cs="Open Sans"/>
          <w:i/>
          <w:iCs/>
        </w:rPr>
        <w:t>Perspectives of the ASHA Special Interest Groups SIG 12</w:t>
      </w:r>
      <w:r w:rsidRPr="00F64263">
        <w:rPr>
          <w:rFonts w:ascii="Open Sans" w:hAnsi="Open Sans" w:cs="Open Sans"/>
        </w:rPr>
        <w:t>, Vol. 3(3), 99-112.</w:t>
      </w:r>
    </w:p>
    <w:p w14:paraId="51675B5B" w14:textId="77777777" w:rsidR="00F64263" w:rsidRPr="00F64263" w:rsidRDefault="00F64263" w:rsidP="00852041">
      <w:pPr>
        <w:autoSpaceDE w:val="0"/>
        <w:autoSpaceDN w:val="0"/>
        <w:adjustRightInd w:val="0"/>
        <w:rPr>
          <w:rFonts w:ascii="Open Sans" w:eastAsiaTheme="minorHAnsi" w:hAnsi="Open Sans" w:cs="Open Sans"/>
          <w:color w:val="231F20"/>
        </w:rPr>
      </w:pPr>
    </w:p>
    <w:p w14:paraId="14AC1075" w14:textId="09077051" w:rsidR="00852041" w:rsidRPr="00F64263" w:rsidRDefault="00852041" w:rsidP="00852041">
      <w:pPr>
        <w:autoSpaceDE w:val="0"/>
        <w:autoSpaceDN w:val="0"/>
        <w:adjustRightInd w:val="0"/>
        <w:rPr>
          <w:rFonts w:ascii="Open Sans" w:eastAsiaTheme="minorHAnsi" w:hAnsi="Open Sans" w:cs="Open Sans"/>
          <w:color w:val="231F20"/>
        </w:rPr>
      </w:pPr>
      <w:r w:rsidRPr="00F64263">
        <w:rPr>
          <w:rFonts w:ascii="Open Sans" w:eastAsiaTheme="minorHAnsi" w:hAnsi="Open Sans" w:cs="Open Sans"/>
          <w:color w:val="231F20"/>
        </w:rPr>
        <w:t>Abstract: Preventable adverse events (AEs) lead to poorer patient outcomes, added patient suffering</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and dissatisfaction, longer hospital stays, and billions in additional annual health care</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spending. Patients facing barriers to communication are 3 times more likely to experience</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a preventable AE than patients who faced no</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communication barriers. National data on</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hospital admissions, incidence and cost of preventable AEs, and the odds ratio regarding</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the risk of preventable AEs in people facing communication barriers were used to estimate</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potential benefits of improving patient communication. Reducing communication barriers</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could lead to an estimated reduction of 671,440 preventable AE cases and a cost savings</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of $6.8 billion annually. Facilitating patient–provider communication is an ethical and</w:t>
      </w:r>
    </w:p>
    <w:p w14:paraId="743E74FA" w14:textId="35DA5E33" w:rsidR="00852041" w:rsidRDefault="00852041" w:rsidP="00F64263">
      <w:pPr>
        <w:autoSpaceDE w:val="0"/>
        <w:autoSpaceDN w:val="0"/>
        <w:adjustRightInd w:val="0"/>
        <w:rPr>
          <w:rFonts w:ascii="Open Sans" w:eastAsiaTheme="minorHAnsi" w:hAnsi="Open Sans" w:cs="Open Sans"/>
          <w:color w:val="231F20"/>
        </w:rPr>
      </w:pPr>
      <w:r w:rsidRPr="00F64263">
        <w:rPr>
          <w:rFonts w:ascii="Open Sans" w:eastAsiaTheme="minorHAnsi" w:hAnsi="Open Sans" w:cs="Open Sans"/>
          <w:color w:val="231F20"/>
        </w:rPr>
        <w:t>financial imperative. A multipronged approach, including increased awareness of and</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support for speech-language pathology services, is essential to creating a communication friendly</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hospital culture, reducing patient suffering, and decreasing the financial cost</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of preventable AEs. Speech-language pathologists and allied health care professionals</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play a critical role in facilitating patient–provider</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communication and improving patient</w:t>
      </w:r>
      <w:r w:rsidR="00F64263">
        <w:rPr>
          <w:rFonts w:ascii="Open Sans" w:eastAsiaTheme="minorHAnsi" w:hAnsi="Open Sans" w:cs="Open Sans"/>
          <w:color w:val="231F20"/>
        </w:rPr>
        <w:t xml:space="preserve"> </w:t>
      </w:r>
      <w:r w:rsidRPr="00F64263">
        <w:rPr>
          <w:rFonts w:ascii="Open Sans" w:eastAsiaTheme="minorHAnsi" w:hAnsi="Open Sans" w:cs="Open Sans"/>
          <w:color w:val="231F20"/>
        </w:rPr>
        <w:t>outcomes.</w:t>
      </w:r>
    </w:p>
    <w:p w14:paraId="155CA006" w14:textId="0E6ECBF9" w:rsidR="009871C4" w:rsidRDefault="0085286A" w:rsidP="00F64263">
      <w:pPr>
        <w:autoSpaceDE w:val="0"/>
        <w:autoSpaceDN w:val="0"/>
        <w:adjustRightInd w:val="0"/>
        <w:rPr>
          <w:rFonts w:ascii="Open Sans" w:eastAsiaTheme="minorHAnsi" w:hAnsi="Open Sans" w:cs="Open Sans"/>
          <w:color w:val="231F20"/>
        </w:rPr>
      </w:pPr>
      <w:hyperlink r:id="rId4" w:history="1">
        <w:r w:rsidR="009871C4" w:rsidRPr="00277081">
          <w:rPr>
            <w:rStyle w:val="Hyperlink"/>
            <w:rFonts w:ascii="Open Sans" w:eastAsiaTheme="minorHAnsi" w:hAnsi="Open Sans" w:cs="Open Sans"/>
          </w:rPr>
          <w:t>https://pubs.asha.org/doi/10.1044/persp3.SIG12.99</w:t>
        </w:r>
      </w:hyperlink>
    </w:p>
    <w:p w14:paraId="61678630" w14:textId="77777777" w:rsidR="009871C4" w:rsidRPr="00F64263" w:rsidRDefault="009871C4" w:rsidP="00F64263">
      <w:pPr>
        <w:autoSpaceDE w:val="0"/>
        <w:autoSpaceDN w:val="0"/>
        <w:adjustRightInd w:val="0"/>
        <w:rPr>
          <w:rFonts w:ascii="Open Sans" w:eastAsiaTheme="minorHAnsi" w:hAnsi="Open Sans" w:cs="Open Sans"/>
          <w:color w:val="231F20"/>
        </w:rPr>
      </w:pPr>
    </w:p>
    <w:p w14:paraId="26DF8B6F" w14:textId="77777777" w:rsidR="00B511BF" w:rsidRPr="00F64263" w:rsidRDefault="00B511BF" w:rsidP="00B511BF">
      <w:pPr>
        <w:rPr>
          <w:rFonts w:ascii="Open Sans" w:hAnsi="Open Sans" w:cs="Open Sans"/>
        </w:rPr>
      </w:pPr>
    </w:p>
    <w:p w14:paraId="68F4F2D8" w14:textId="25DEAA85" w:rsidR="00B511BF" w:rsidRPr="00F64263" w:rsidRDefault="00B511BF" w:rsidP="00B511BF">
      <w:pPr>
        <w:rPr>
          <w:rFonts w:ascii="Open Sans" w:hAnsi="Open Sans" w:cs="Open Sans"/>
        </w:rPr>
      </w:pPr>
      <w:r w:rsidRPr="00F64263">
        <w:rPr>
          <w:rFonts w:ascii="Open Sans" w:hAnsi="Open Sans" w:cs="Open Sans"/>
        </w:rPr>
        <w:t xml:space="preserve">Zubow, L., &amp; Hurtig, R. (2014). The Use of Rudimentary Vocalizations. </w:t>
      </w:r>
      <w:r w:rsidRPr="00F64263">
        <w:rPr>
          <w:rFonts w:ascii="Open Sans" w:hAnsi="Open Sans" w:cs="Open Sans"/>
          <w:i/>
          <w:iCs/>
        </w:rPr>
        <w:t>Perspectives on Augmentative and Alternative Communication</w:t>
      </w:r>
      <w:r w:rsidRPr="00F64263">
        <w:rPr>
          <w:rFonts w:ascii="Open Sans" w:hAnsi="Open Sans" w:cs="Open Sans"/>
        </w:rPr>
        <w:t xml:space="preserve">, </w:t>
      </w:r>
      <w:r w:rsidRPr="00F64263">
        <w:rPr>
          <w:rFonts w:ascii="Open Sans" w:hAnsi="Open Sans" w:cs="Open Sans"/>
          <w:i/>
          <w:iCs/>
        </w:rPr>
        <w:t>23</w:t>
      </w:r>
      <w:r w:rsidRPr="00F64263">
        <w:rPr>
          <w:rFonts w:ascii="Open Sans" w:hAnsi="Open Sans" w:cs="Open Sans"/>
        </w:rPr>
        <w:t>(</w:t>
      </w:r>
      <w:r w:rsidR="00852041" w:rsidRPr="00F64263">
        <w:rPr>
          <w:rFonts w:ascii="Open Sans" w:hAnsi="Open Sans" w:cs="Open Sans"/>
        </w:rPr>
        <w:t>3</w:t>
      </w:r>
      <w:r w:rsidRPr="00F64263">
        <w:rPr>
          <w:rFonts w:ascii="Open Sans" w:hAnsi="Open Sans" w:cs="Open Sans"/>
        </w:rPr>
        <w:t>), 132-139.</w:t>
      </w:r>
    </w:p>
    <w:p w14:paraId="762CB748" w14:textId="77777777" w:rsidR="00F64263" w:rsidRPr="00F64263" w:rsidRDefault="00F64263" w:rsidP="00852041">
      <w:pPr>
        <w:rPr>
          <w:rFonts w:ascii="Open Sans" w:hAnsi="Open Sans" w:cs="Open Sans"/>
        </w:rPr>
      </w:pPr>
    </w:p>
    <w:p w14:paraId="45D5332D" w14:textId="23044736" w:rsidR="00852041" w:rsidRPr="00F64263" w:rsidRDefault="00852041" w:rsidP="00852041">
      <w:pPr>
        <w:rPr>
          <w:rFonts w:ascii="Open Sans" w:hAnsi="Open Sans" w:cs="Open Sans"/>
        </w:rPr>
      </w:pPr>
      <w:r w:rsidRPr="00F64263">
        <w:rPr>
          <w:rFonts w:ascii="Open Sans" w:hAnsi="Open Sans" w:cs="Open Sans"/>
        </w:rPr>
        <w:t xml:space="preserve">Abstract: </w:t>
      </w:r>
      <w:r w:rsidRPr="00852041">
        <w:rPr>
          <w:rFonts w:ascii="Open Sans" w:hAnsi="Open Sans" w:cs="Open Sans"/>
        </w:rPr>
        <w:t>Children with Rett Syndrome (RS) are reported to use multiple modalities to communicate although their intentionality is often questioned (</w:t>
      </w:r>
      <w:proofErr w:type="spellStart"/>
      <w:r w:rsidRPr="00852041">
        <w:rPr>
          <w:rFonts w:ascii="Open Sans" w:hAnsi="Open Sans" w:cs="Open Sans"/>
        </w:rPr>
        <w:t>Bartolotta</w:t>
      </w:r>
      <w:proofErr w:type="spellEnd"/>
      <w:r w:rsidRPr="00852041">
        <w:rPr>
          <w:rFonts w:ascii="Open Sans" w:hAnsi="Open Sans" w:cs="Open Sans"/>
        </w:rPr>
        <w:t xml:space="preserve">, Zipp, Simpkins, &amp; </w:t>
      </w:r>
      <w:proofErr w:type="spellStart"/>
      <w:r w:rsidRPr="00852041">
        <w:rPr>
          <w:rFonts w:ascii="Open Sans" w:hAnsi="Open Sans" w:cs="Open Sans"/>
        </w:rPr>
        <w:t>Glazewski</w:t>
      </w:r>
      <w:proofErr w:type="spellEnd"/>
      <w:r w:rsidRPr="00852041">
        <w:rPr>
          <w:rFonts w:ascii="Open Sans" w:hAnsi="Open Sans" w:cs="Open Sans"/>
        </w:rPr>
        <w:t xml:space="preserve">, 2011; </w:t>
      </w:r>
      <w:proofErr w:type="spellStart"/>
      <w:r w:rsidRPr="00852041">
        <w:rPr>
          <w:rFonts w:ascii="Open Sans" w:hAnsi="Open Sans" w:cs="Open Sans"/>
        </w:rPr>
        <w:t>Hetzroni</w:t>
      </w:r>
      <w:proofErr w:type="spellEnd"/>
      <w:r w:rsidRPr="00852041">
        <w:rPr>
          <w:rFonts w:ascii="Open Sans" w:hAnsi="Open Sans" w:cs="Open Sans"/>
        </w:rPr>
        <w:t xml:space="preserve"> &amp; Rubin, 2006; </w:t>
      </w:r>
      <w:proofErr w:type="spellStart"/>
      <w:r w:rsidRPr="00852041">
        <w:rPr>
          <w:rFonts w:ascii="Open Sans" w:hAnsi="Open Sans" w:cs="Open Sans"/>
        </w:rPr>
        <w:t>Sigafoos</w:t>
      </w:r>
      <w:proofErr w:type="spellEnd"/>
      <w:r w:rsidRPr="00852041">
        <w:rPr>
          <w:rFonts w:ascii="Open Sans" w:hAnsi="Open Sans" w:cs="Open Sans"/>
        </w:rPr>
        <w:t xml:space="preserve"> et al., 2000; </w:t>
      </w:r>
      <w:proofErr w:type="spellStart"/>
      <w:r w:rsidRPr="00852041">
        <w:rPr>
          <w:rFonts w:ascii="Open Sans" w:hAnsi="Open Sans" w:cs="Open Sans"/>
        </w:rPr>
        <w:t>Sigafoos</w:t>
      </w:r>
      <w:proofErr w:type="spellEnd"/>
      <w:r w:rsidRPr="00852041">
        <w:rPr>
          <w:rFonts w:ascii="Open Sans" w:hAnsi="Open Sans" w:cs="Open Sans"/>
        </w:rPr>
        <w:t xml:space="preserve">, </w:t>
      </w:r>
      <w:proofErr w:type="spellStart"/>
      <w:r w:rsidRPr="00852041">
        <w:rPr>
          <w:rFonts w:ascii="Open Sans" w:hAnsi="Open Sans" w:cs="Open Sans"/>
        </w:rPr>
        <w:t>Woodyatt</w:t>
      </w:r>
      <w:proofErr w:type="spellEnd"/>
      <w:r w:rsidRPr="00852041">
        <w:rPr>
          <w:rFonts w:ascii="Open Sans" w:hAnsi="Open Sans" w:cs="Open Sans"/>
        </w:rPr>
        <w:t xml:space="preserve">, </w:t>
      </w:r>
      <w:proofErr w:type="spellStart"/>
      <w:r w:rsidRPr="00852041">
        <w:rPr>
          <w:rFonts w:ascii="Open Sans" w:hAnsi="Open Sans" w:cs="Open Sans"/>
        </w:rPr>
        <w:t>Tuckeer</w:t>
      </w:r>
      <w:proofErr w:type="spellEnd"/>
      <w:r w:rsidRPr="00852041">
        <w:rPr>
          <w:rFonts w:ascii="Open Sans" w:hAnsi="Open Sans" w:cs="Open Sans"/>
        </w:rPr>
        <w:t xml:space="preserve">, Roberts-Pennell, &amp; </w:t>
      </w:r>
      <w:proofErr w:type="spellStart"/>
      <w:r w:rsidRPr="00852041">
        <w:rPr>
          <w:rFonts w:ascii="Open Sans" w:hAnsi="Open Sans" w:cs="Open Sans"/>
        </w:rPr>
        <w:t>Pittendreigh</w:t>
      </w:r>
      <w:proofErr w:type="spellEnd"/>
      <w:r w:rsidRPr="00852041">
        <w:rPr>
          <w:rFonts w:ascii="Open Sans" w:hAnsi="Open Sans" w:cs="Open Sans"/>
        </w:rPr>
        <w:t xml:space="preserve">, 2000). This paper will present results of a study analyzing the unconventional vocalizations of a child with RS. The primary research question addresses the ability of familiar and unfamiliar listeners to interpret unconventional vocalizations as “yes” or “no” responses. This paper will also address the acoustic analysis and perceptual judgments of these vocalizations. Pre-recorded isolated vocalizations of “yes” and “no” were presented to 5 listeners (mother, father, 1 unfamiliar, and 2 familiar clinicians) and the listeners were asked </w:t>
      </w:r>
      <w:r w:rsidRPr="00852041">
        <w:rPr>
          <w:rFonts w:ascii="Open Sans" w:hAnsi="Open Sans" w:cs="Open Sans"/>
        </w:rPr>
        <w:lastRenderedPageBreak/>
        <w:t xml:space="preserve">to rate the vocalizations as either “yes” or “no.” The ratings were compared to the original identification made by the child's mother during the face-to-face interaction from which the samples were drawn. Findings of this study suggest, in this case, the child's vocalizations were intentional and could be interpreted by familiar and unfamiliar listeners as either “yes” or “no” without contextual or visual cues. The results suggest that communication partners should be trained to attend to eye-gaze and vocalizations to ensure the child's intended choice is accurately understood. </w:t>
      </w:r>
    </w:p>
    <w:p w14:paraId="13C2A6C2" w14:textId="39A1C395" w:rsidR="004E5422" w:rsidRPr="00F64263" w:rsidRDefault="0085286A" w:rsidP="00852041">
      <w:pPr>
        <w:rPr>
          <w:rFonts w:ascii="Open Sans" w:hAnsi="Open Sans" w:cs="Open Sans"/>
        </w:rPr>
      </w:pPr>
      <w:hyperlink r:id="rId5" w:history="1">
        <w:r w:rsidR="004E5422" w:rsidRPr="00F64263">
          <w:rPr>
            <w:rStyle w:val="Hyperlink"/>
            <w:rFonts w:ascii="Open Sans" w:hAnsi="Open Sans" w:cs="Open Sans"/>
          </w:rPr>
          <w:t>https://pubs.asha.org/doi/abs/10.1044/aac23.3.132</w:t>
        </w:r>
      </w:hyperlink>
    </w:p>
    <w:p w14:paraId="18153A4A" w14:textId="1010C799" w:rsidR="00B511BF" w:rsidRDefault="00B511BF" w:rsidP="00B511BF">
      <w:pPr>
        <w:rPr>
          <w:rFonts w:ascii="Open Sans" w:hAnsi="Open Sans" w:cs="Open Sans"/>
        </w:rPr>
      </w:pPr>
    </w:p>
    <w:p w14:paraId="6EC5DF3E" w14:textId="77777777" w:rsidR="009871C4" w:rsidRPr="00F64263" w:rsidRDefault="009871C4" w:rsidP="00B511BF">
      <w:pPr>
        <w:rPr>
          <w:rFonts w:ascii="Open Sans" w:hAnsi="Open Sans" w:cs="Open Sans"/>
        </w:rPr>
      </w:pPr>
    </w:p>
    <w:p w14:paraId="0169D8FE" w14:textId="2C22FADB" w:rsidR="00B511BF" w:rsidRPr="00F64263" w:rsidRDefault="00B511BF" w:rsidP="00B511BF">
      <w:pPr>
        <w:rPr>
          <w:rFonts w:ascii="Open Sans" w:hAnsi="Open Sans" w:cs="Open Sans"/>
        </w:rPr>
      </w:pPr>
      <w:r w:rsidRPr="00F64263">
        <w:rPr>
          <w:rFonts w:ascii="Open Sans" w:hAnsi="Open Sans" w:cs="Open Sans"/>
        </w:rPr>
        <w:t xml:space="preserve">Hurtig, R., Czerniejewski, E., Bohnenkamp, L., &amp; Na, J. (2013). Meeting the Needs of Limited English Proficiency Patients. </w:t>
      </w:r>
      <w:r w:rsidRPr="00F64263">
        <w:rPr>
          <w:rFonts w:ascii="Open Sans" w:hAnsi="Open Sans" w:cs="Open Sans"/>
          <w:i/>
          <w:iCs/>
        </w:rPr>
        <w:t>Perspectives on Augmentative and Alternative Communication</w:t>
      </w:r>
      <w:r w:rsidRPr="00F64263">
        <w:rPr>
          <w:rFonts w:ascii="Open Sans" w:hAnsi="Open Sans" w:cs="Open Sans"/>
        </w:rPr>
        <w:t xml:space="preserve">, </w:t>
      </w:r>
      <w:r w:rsidRPr="00F64263">
        <w:rPr>
          <w:rFonts w:ascii="Open Sans" w:hAnsi="Open Sans" w:cs="Open Sans"/>
          <w:i/>
          <w:iCs/>
        </w:rPr>
        <w:t>22</w:t>
      </w:r>
      <w:r w:rsidRPr="00F64263">
        <w:rPr>
          <w:rFonts w:ascii="Open Sans" w:hAnsi="Open Sans" w:cs="Open Sans"/>
        </w:rPr>
        <w:t>(2), 91-101.</w:t>
      </w:r>
    </w:p>
    <w:p w14:paraId="2FA79198" w14:textId="77777777" w:rsidR="00F64263" w:rsidRDefault="00F64263" w:rsidP="00F64263">
      <w:pPr>
        <w:rPr>
          <w:rFonts w:ascii="Open Sans" w:hAnsi="Open Sans" w:cs="Open Sans"/>
        </w:rPr>
      </w:pPr>
    </w:p>
    <w:p w14:paraId="23A28F8C" w14:textId="1A1195AB" w:rsidR="00F64263" w:rsidRPr="00F64263" w:rsidRDefault="00F64263" w:rsidP="00F64263">
      <w:pPr>
        <w:rPr>
          <w:rFonts w:ascii="Open Sans" w:hAnsi="Open Sans" w:cs="Open Sans"/>
        </w:rPr>
      </w:pPr>
      <w:r w:rsidRPr="00F64263">
        <w:rPr>
          <w:rFonts w:ascii="Open Sans" w:hAnsi="Open Sans" w:cs="Open Sans"/>
        </w:rPr>
        <w:t xml:space="preserve">Abstract: The number of patients in U.S. hospitals with limited English proficiency (LEP) is growing. There is a body of evidence that suggests that inadequate patient-provider communication is responsible for a range of adverse events, including death. In recognition of this, the Joint Commission has set standards requiring hospitals to address the communication needs of the diverse hospitalized population. Although the optimal approach for LEP patients would involve having certified interpreters at the bedside around the clock, this is unfortunately not practically or economically feasible. Speech-generating devices (SGDs) can offer patients a means of communicating with their caregivers and an opportunity to participate more actively in their care. The University of Iowa Assistive Devices Lab has developed a series of bilingual communication templates suited for use in acute and critical care settings. They developed these templates for use by LEP patients who are speakers of diverse languages, as well as by Deaf patients who use a sign language as their primary means of communication. </w:t>
      </w:r>
    </w:p>
    <w:p w14:paraId="54FE6AD0" w14:textId="763434E2" w:rsidR="00F64263" w:rsidRPr="00F64263" w:rsidRDefault="0085286A" w:rsidP="00B511BF">
      <w:pPr>
        <w:rPr>
          <w:rFonts w:ascii="Open Sans" w:hAnsi="Open Sans" w:cs="Open Sans"/>
        </w:rPr>
      </w:pPr>
      <w:hyperlink r:id="rId6" w:history="1">
        <w:r w:rsidR="00F64263" w:rsidRPr="00F64263">
          <w:rPr>
            <w:rStyle w:val="Hyperlink"/>
            <w:rFonts w:ascii="Open Sans" w:hAnsi="Open Sans" w:cs="Open Sans"/>
          </w:rPr>
          <w:t>https://pubs.asha.org/doi/abs/10.1044/aac22.2.91</w:t>
        </w:r>
      </w:hyperlink>
    </w:p>
    <w:p w14:paraId="54B62CEA" w14:textId="77777777" w:rsidR="00B511BF" w:rsidRPr="00F64263" w:rsidRDefault="00B511BF" w:rsidP="00B511BF">
      <w:pPr>
        <w:tabs>
          <w:tab w:val="left" w:pos="360"/>
        </w:tabs>
        <w:rPr>
          <w:rFonts w:ascii="Open Sans" w:hAnsi="Open Sans" w:cs="Open Sans"/>
        </w:rPr>
      </w:pPr>
    </w:p>
    <w:p w14:paraId="6BE5E007" w14:textId="77777777" w:rsidR="00B511BF" w:rsidRPr="00F64263" w:rsidRDefault="00B511BF" w:rsidP="00B511BF">
      <w:pPr>
        <w:rPr>
          <w:rFonts w:ascii="Open Sans" w:hAnsi="Open Sans" w:cs="Open Sans"/>
        </w:rPr>
      </w:pPr>
      <w:r w:rsidRPr="00F64263">
        <w:rPr>
          <w:rFonts w:ascii="Open Sans" w:hAnsi="Open Sans" w:cs="Open Sans"/>
        </w:rPr>
        <w:t xml:space="preserve">Zubow, L., &amp; Hurtig, R. (2013). A Demographic Study of AAC/AT Needs in Hospitalized Patients. </w:t>
      </w:r>
      <w:r w:rsidRPr="00F64263">
        <w:rPr>
          <w:rFonts w:ascii="Open Sans" w:hAnsi="Open Sans" w:cs="Open Sans"/>
          <w:i/>
          <w:iCs/>
        </w:rPr>
        <w:t>Perspectives on Augmentative and Alternative Communication</w:t>
      </w:r>
      <w:r w:rsidRPr="00F64263">
        <w:rPr>
          <w:rFonts w:ascii="Open Sans" w:hAnsi="Open Sans" w:cs="Open Sans"/>
        </w:rPr>
        <w:t xml:space="preserve">, </w:t>
      </w:r>
      <w:r w:rsidRPr="00F64263">
        <w:rPr>
          <w:rFonts w:ascii="Open Sans" w:hAnsi="Open Sans" w:cs="Open Sans"/>
          <w:i/>
          <w:iCs/>
        </w:rPr>
        <w:t>22</w:t>
      </w:r>
      <w:r w:rsidRPr="00F64263">
        <w:rPr>
          <w:rFonts w:ascii="Open Sans" w:hAnsi="Open Sans" w:cs="Open Sans"/>
        </w:rPr>
        <w:t>(2), 79-90.</w:t>
      </w:r>
    </w:p>
    <w:p w14:paraId="10FD21B1" w14:textId="77777777" w:rsidR="00F64263" w:rsidRDefault="00F64263" w:rsidP="00F64263">
      <w:pPr>
        <w:rPr>
          <w:rFonts w:ascii="Open Sans" w:hAnsi="Open Sans" w:cs="Open Sans"/>
        </w:rPr>
      </w:pPr>
    </w:p>
    <w:p w14:paraId="4FFBC703" w14:textId="4A895134" w:rsidR="00F64263" w:rsidRPr="00F64263" w:rsidRDefault="00F64263" w:rsidP="00F64263">
      <w:pPr>
        <w:rPr>
          <w:rFonts w:ascii="Open Sans" w:hAnsi="Open Sans" w:cs="Open Sans"/>
        </w:rPr>
      </w:pPr>
      <w:r w:rsidRPr="00F64263">
        <w:rPr>
          <w:rFonts w:ascii="Open Sans" w:hAnsi="Open Sans" w:cs="Open Sans"/>
        </w:rPr>
        <w:t xml:space="preserve">Abstract: In 2012, the Joint Commission issued a mandate that accredited hospitals must take into consideration the needs of patients with complex communication needs. Stemming from this mandate came recommendations for hospitals to collect baseline data of the number of individuals in their care with complex </w:t>
      </w:r>
      <w:r w:rsidRPr="00F64263">
        <w:rPr>
          <w:rFonts w:ascii="Open Sans" w:hAnsi="Open Sans" w:cs="Open Sans"/>
        </w:rPr>
        <w:lastRenderedPageBreak/>
        <w:t xml:space="preserve">communication needs. This is a demographic study in response to their recommendation. Researchers at the University of Iowa sampled the electronic medical records of patients across 7 days to determine the number of patients who met candidacy requirements for augmentative alternative communication or assistive technology. Our census data indicate there is a significant need for patients in acute care settings to have access to alternative communication and the nurse call systems. The need appears to be greater in the intensive care </w:t>
      </w:r>
      <w:proofErr w:type="spellStart"/>
      <w:proofErr w:type="gramStart"/>
      <w:r w:rsidRPr="00F64263">
        <w:rPr>
          <w:rFonts w:ascii="Open Sans" w:hAnsi="Open Sans" w:cs="Open Sans"/>
        </w:rPr>
        <w:t>units,but</w:t>
      </w:r>
      <w:proofErr w:type="spellEnd"/>
      <w:proofErr w:type="gramEnd"/>
      <w:r w:rsidRPr="00F64263">
        <w:rPr>
          <w:rFonts w:ascii="Open Sans" w:hAnsi="Open Sans" w:cs="Open Sans"/>
        </w:rPr>
        <w:t xml:space="preserve"> is not limited to this patient population. Overall, patients had greater AT needs than AAC needs in all locations. We recommend future research to investigate service delivery models to improve communication barriers that may exist between hospital staff and patients. </w:t>
      </w:r>
    </w:p>
    <w:p w14:paraId="257C45A6" w14:textId="04C8FBB0" w:rsidR="00F64263" w:rsidRPr="00F64263" w:rsidRDefault="0085286A" w:rsidP="00F64263">
      <w:pPr>
        <w:rPr>
          <w:rFonts w:ascii="Open Sans" w:hAnsi="Open Sans" w:cs="Open Sans"/>
        </w:rPr>
      </w:pPr>
      <w:hyperlink r:id="rId7" w:history="1">
        <w:r w:rsidR="00F64263" w:rsidRPr="00F64263">
          <w:rPr>
            <w:rStyle w:val="Hyperlink"/>
            <w:rFonts w:ascii="Open Sans" w:hAnsi="Open Sans" w:cs="Open Sans"/>
          </w:rPr>
          <w:t>https://pubs.asha.org/doi/abs/10.1044/aac22.2.79</w:t>
        </w:r>
      </w:hyperlink>
    </w:p>
    <w:p w14:paraId="3F4560C3" w14:textId="78CD0711" w:rsidR="00B511BF" w:rsidRPr="00F64263" w:rsidRDefault="00B511BF" w:rsidP="00B511BF">
      <w:pPr>
        <w:tabs>
          <w:tab w:val="left" w:pos="-1080"/>
          <w:tab w:val="left" w:pos="-720"/>
          <w:tab w:val="left" w:pos="720"/>
          <w:tab w:val="left" w:pos="1980"/>
          <w:tab w:val="left" w:pos="396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Open Sans" w:hAnsi="Open Sans" w:cs="Open Sans"/>
          <w:snapToGrid w:val="0"/>
          <w:color w:val="000000"/>
        </w:rPr>
      </w:pPr>
    </w:p>
    <w:p w14:paraId="639DE258" w14:textId="43ED3A24" w:rsidR="00B511BF" w:rsidRPr="00F64263" w:rsidRDefault="00B511BF" w:rsidP="00B511BF">
      <w:pPr>
        <w:tabs>
          <w:tab w:val="left" w:pos="-1080"/>
          <w:tab w:val="left" w:pos="-720"/>
          <w:tab w:val="left" w:pos="720"/>
          <w:tab w:val="left" w:pos="1980"/>
          <w:tab w:val="left" w:pos="3960"/>
          <w:tab w:val="left" w:pos="801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Open Sans" w:hAnsi="Open Sans" w:cs="Open Sans"/>
          <w:snapToGrid w:val="0"/>
          <w:color w:val="000000"/>
        </w:rPr>
      </w:pPr>
      <w:r w:rsidRPr="00F64263">
        <w:rPr>
          <w:rFonts w:ascii="Open Sans" w:hAnsi="Open Sans" w:cs="Open Sans"/>
          <w:snapToGrid w:val="0"/>
          <w:color w:val="000000"/>
        </w:rPr>
        <w:t xml:space="preserve">Downey, D.  &amp; Hurtig, R. (2006). “Rethinking the use of AAC in Acute Care Settings.” </w:t>
      </w:r>
      <w:r w:rsidRPr="00F64263">
        <w:rPr>
          <w:rFonts w:ascii="Open Sans" w:hAnsi="Open Sans" w:cs="Open Sans"/>
          <w:i/>
          <w:iCs/>
        </w:rPr>
        <w:t xml:space="preserve">Perspectives on Augmentative </w:t>
      </w:r>
      <w:r w:rsidR="0085286A">
        <w:rPr>
          <w:rFonts w:ascii="Open Sans" w:hAnsi="Open Sans" w:cs="Open Sans"/>
          <w:i/>
          <w:iCs/>
        </w:rPr>
        <w:t>an</w:t>
      </w:r>
      <w:r w:rsidRPr="00F64263">
        <w:rPr>
          <w:rFonts w:ascii="Open Sans" w:hAnsi="Open Sans" w:cs="Open Sans"/>
          <w:i/>
          <w:iCs/>
        </w:rPr>
        <w:t>d Alternative Communication</w:t>
      </w:r>
      <w:r w:rsidRPr="00F64263">
        <w:rPr>
          <w:rFonts w:ascii="Open Sans" w:hAnsi="Open Sans" w:cs="Open Sans"/>
        </w:rPr>
        <w:t>,</w:t>
      </w:r>
      <w:r w:rsidRPr="00F64263">
        <w:rPr>
          <w:rFonts w:ascii="Open Sans" w:hAnsi="Open Sans" w:cs="Open Sans"/>
          <w:snapToGrid w:val="0"/>
          <w:color w:val="000000"/>
        </w:rPr>
        <w:t xml:space="preserve"> 15(4) (3-8).</w:t>
      </w:r>
    </w:p>
    <w:p w14:paraId="73F9552C" w14:textId="00AEB6C2" w:rsidR="00B511BF" w:rsidRDefault="0085286A">
      <w:pPr>
        <w:rPr>
          <w:rStyle w:val="Hyperlink"/>
          <w:rFonts w:ascii="Open Sans" w:hAnsi="Open Sans" w:cs="Open Sans"/>
        </w:rPr>
      </w:pPr>
      <w:hyperlink r:id="rId8" w:history="1">
        <w:r w:rsidR="004E5422" w:rsidRPr="00F64263">
          <w:rPr>
            <w:rStyle w:val="Hyperlink"/>
            <w:rFonts w:ascii="Open Sans" w:hAnsi="Open Sans" w:cs="Open Sans"/>
          </w:rPr>
          <w:t>https://pubs.asha.org/doi/full/10.1044/aac15.4.3</w:t>
        </w:r>
      </w:hyperlink>
    </w:p>
    <w:p w14:paraId="28D0AF17" w14:textId="77777777" w:rsidR="0085286A" w:rsidRDefault="0085286A" w:rsidP="00FC35D9">
      <w:pPr>
        <w:tabs>
          <w:tab w:val="left" w:pos="3037"/>
        </w:tabs>
        <w:rPr>
          <w:rStyle w:val="Hyperlink"/>
          <w:rFonts w:ascii="Open Sans" w:hAnsi="Open Sans" w:cs="Open Sans"/>
          <w:color w:val="000000" w:themeColor="text1"/>
          <w:u w:val="none"/>
        </w:rPr>
      </w:pPr>
    </w:p>
    <w:p w14:paraId="5708F6BA" w14:textId="3518A9BE" w:rsidR="00FC35D9" w:rsidRPr="0085286A" w:rsidRDefault="0085286A" w:rsidP="00FC35D9">
      <w:pPr>
        <w:tabs>
          <w:tab w:val="left" w:pos="3037"/>
        </w:tabs>
        <w:rPr>
          <w:rStyle w:val="Hyperlink"/>
          <w:rFonts w:ascii="Open Sans" w:hAnsi="Open Sans" w:cs="Open Sans"/>
          <w:color w:val="000000" w:themeColor="text1"/>
          <w:u w:val="none"/>
        </w:rPr>
      </w:pPr>
      <w:r>
        <w:rPr>
          <w:rStyle w:val="Hyperlink"/>
          <w:rFonts w:ascii="Open Sans" w:hAnsi="Open Sans" w:cs="Open Sans"/>
          <w:color w:val="000000" w:themeColor="text1"/>
          <w:u w:val="none"/>
        </w:rPr>
        <w:t xml:space="preserve">Summary: </w:t>
      </w:r>
      <w:bookmarkStart w:id="0" w:name="_GoBack"/>
      <w:bookmarkEnd w:id="0"/>
      <w:r w:rsidRPr="0085286A">
        <w:rPr>
          <w:rStyle w:val="Hyperlink"/>
          <w:rFonts w:ascii="Open Sans" w:hAnsi="Open Sans" w:cs="Open Sans"/>
          <w:color w:val="000000" w:themeColor="text1"/>
          <w:u w:val="none"/>
        </w:rPr>
        <w:t>Raising the possibility of adapting AAC strategies used with individuals facing long term communication barriers to patients in ICUs facing barriers to communicating with healthcare providers.</w:t>
      </w:r>
    </w:p>
    <w:p w14:paraId="0BA51081" w14:textId="77777777" w:rsidR="00FC35D9" w:rsidRPr="00FC35D9" w:rsidRDefault="00FC35D9">
      <w:pPr>
        <w:rPr>
          <w:rFonts w:ascii="Open Sans" w:hAnsi="Open Sans" w:cs="Open Sans"/>
        </w:rPr>
      </w:pPr>
    </w:p>
    <w:p w14:paraId="5B46FCC1" w14:textId="77777777" w:rsidR="004E5422" w:rsidRPr="00F64263" w:rsidRDefault="004E5422">
      <w:pPr>
        <w:rPr>
          <w:rFonts w:ascii="Open Sans" w:hAnsi="Open Sans" w:cs="Open Sans"/>
        </w:rPr>
      </w:pPr>
    </w:p>
    <w:p w14:paraId="2FAA3C6D" w14:textId="77777777" w:rsidR="009871C4" w:rsidRDefault="009871C4" w:rsidP="00B511B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Open Sans" w:hAnsi="Open Sans" w:cs="Open Sans"/>
          <w:b/>
          <w:snapToGrid w:val="0"/>
          <w:color w:val="000000"/>
        </w:rPr>
      </w:pPr>
    </w:p>
    <w:p w14:paraId="1FC1B7C2" w14:textId="3812433D" w:rsidR="00F64263" w:rsidRPr="00F64263" w:rsidRDefault="00F64263" w:rsidP="00B511B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Open Sans" w:hAnsi="Open Sans" w:cs="Open Sans"/>
          <w:b/>
          <w:snapToGrid w:val="0"/>
          <w:color w:val="000000"/>
        </w:rPr>
      </w:pPr>
      <w:r w:rsidRPr="00F64263">
        <w:rPr>
          <w:rFonts w:ascii="Open Sans" w:hAnsi="Open Sans" w:cs="Open Sans"/>
          <w:b/>
          <w:snapToGrid w:val="0"/>
          <w:color w:val="000000"/>
        </w:rPr>
        <w:t>Books &amp; Chapters:</w:t>
      </w:r>
    </w:p>
    <w:p w14:paraId="1F3179A0" w14:textId="77777777" w:rsidR="00F64263" w:rsidRPr="00F64263" w:rsidRDefault="00F64263" w:rsidP="00F64263">
      <w:pPr>
        <w:widowControl w:val="0"/>
        <w:autoSpaceDE w:val="0"/>
        <w:autoSpaceDN w:val="0"/>
        <w:adjustRightInd w:val="0"/>
        <w:rPr>
          <w:rFonts w:ascii="Open Sans" w:hAnsi="Open Sans" w:cs="Open Sans"/>
        </w:rPr>
      </w:pPr>
    </w:p>
    <w:p w14:paraId="43707353" w14:textId="6AAD8E1A" w:rsidR="00F64263" w:rsidRPr="00F64263" w:rsidRDefault="00F64263" w:rsidP="00F64263">
      <w:pPr>
        <w:widowControl w:val="0"/>
        <w:autoSpaceDE w:val="0"/>
        <w:autoSpaceDN w:val="0"/>
        <w:adjustRightInd w:val="0"/>
        <w:rPr>
          <w:rFonts w:ascii="Open Sans" w:hAnsi="Open Sans" w:cs="Open Sans"/>
        </w:rPr>
      </w:pPr>
      <w:r w:rsidRPr="00F64263">
        <w:rPr>
          <w:rFonts w:ascii="Open Sans" w:hAnsi="Open Sans" w:cs="Open Sans"/>
        </w:rPr>
        <w:t xml:space="preserve">Hurtig, R., Nilsen, M., Happ, E.B. &amp; Blackstone, S. (2015) Acute Care/Hospital/ICU-Adults. </w:t>
      </w:r>
      <w:r w:rsidRPr="00F64263">
        <w:rPr>
          <w:rFonts w:ascii="Open Sans" w:hAnsi="Open Sans" w:cs="Open Sans"/>
          <w:u w:val="single"/>
        </w:rPr>
        <w:t>In Patient Provider Communication in Healthcare Settings: Roles for Speech-Language Pathologists and Other Professionals</w:t>
      </w:r>
      <w:r w:rsidRPr="00F64263">
        <w:rPr>
          <w:rFonts w:ascii="Open Sans" w:hAnsi="Open Sans" w:cs="Open Sans"/>
        </w:rPr>
        <w:t>. Blackstone, S., Beukelman, D. &amp; Yorkston, K (Eds.) Plural Publishing Inc. San Diego, California.</w:t>
      </w:r>
    </w:p>
    <w:p w14:paraId="4C051EDA" w14:textId="77777777" w:rsidR="00F64263" w:rsidRPr="00F64263" w:rsidRDefault="0085286A" w:rsidP="00F64263">
      <w:pPr>
        <w:widowControl w:val="0"/>
        <w:autoSpaceDE w:val="0"/>
        <w:autoSpaceDN w:val="0"/>
        <w:adjustRightInd w:val="0"/>
        <w:rPr>
          <w:rFonts w:ascii="Open Sans" w:hAnsi="Open Sans" w:cs="Open Sans"/>
        </w:rPr>
      </w:pPr>
      <w:hyperlink r:id="rId9" w:history="1">
        <w:r w:rsidR="00F64263" w:rsidRPr="00F64263">
          <w:rPr>
            <w:rStyle w:val="Hyperlink"/>
            <w:rFonts w:ascii="Open Sans" w:hAnsi="Open Sans" w:cs="Open Sans"/>
          </w:rPr>
          <w:t>https://www.pluralpublishing.com/publication_ppc.htm</w:t>
        </w:r>
      </w:hyperlink>
    </w:p>
    <w:p w14:paraId="17BEF014" w14:textId="77777777" w:rsidR="00F64263" w:rsidRPr="00F64263" w:rsidRDefault="00F64263" w:rsidP="00F64263">
      <w:pPr>
        <w:tabs>
          <w:tab w:val="left" w:pos="360"/>
        </w:tabs>
        <w:rPr>
          <w:rFonts w:ascii="Open Sans" w:hAnsi="Open Sans" w:cs="Open Sans"/>
        </w:rPr>
      </w:pPr>
    </w:p>
    <w:p w14:paraId="130CF63A" w14:textId="77777777" w:rsidR="00F64263" w:rsidRPr="00F64263" w:rsidRDefault="00F64263" w:rsidP="00F64263">
      <w:pPr>
        <w:tabs>
          <w:tab w:val="left" w:pos="360"/>
        </w:tabs>
        <w:rPr>
          <w:rFonts w:ascii="Open Sans" w:hAnsi="Open Sans" w:cs="Open Sans"/>
        </w:rPr>
      </w:pPr>
      <w:r w:rsidRPr="00F64263">
        <w:rPr>
          <w:rFonts w:ascii="Open Sans" w:hAnsi="Open Sans" w:cs="Open Sans"/>
        </w:rPr>
        <w:t xml:space="preserve">Hurtig, R., Downey, D. &amp; Zubow, L. (2014) Special Chapter: AAC for Adults in Acute Care. In </w:t>
      </w:r>
      <w:r w:rsidRPr="00F64263">
        <w:rPr>
          <w:rFonts w:ascii="Open Sans" w:hAnsi="Open Sans" w:cs="Open Sans"/>
          <w:u w:val="single"/>
        </w:rPr>
        <w:t>Augmentative &amp; Alternative Communication: An Interactive Clinical Case Book</w:t>
      </w:r>
      <w:r w:rsidRPr="00F64263">
        <w:rPr>
          <w:rFonts w:ascii="Open Sans" w:hAnsi="Open Sans" w:cs="Open Sans"/>
        </w:rPr>
        <w:t xml:space="preserve"> McCarthy, J.W. &amp; Dietz, A (eds) Plural Publishing Inc., San Diego, California.</w:t>
      </w:r>
    </w:p>
    <w:p w14:paraId="734EC311" w14:textId="77777777" w:rsidR="00F64263" w:rsidRPr="00F64263" w:rsidRDefault="0085286A" w:rsidP="00F64263">
      <w:pPr>
        <w:tabs>
          <w:tab w:val="left" w:pos="360"/>
        </w:tabs>
        <w:rPr>
          <w:rFonts w:ascii="Open Sans" w:hAnsi="Open Sans" w:cs="Open Sans"/>
        </w:rPr>
      </w:pPr>
      <w:hyperlink r:id="rId10" w:history="1">
        <w:r w:rsidR="00F64263" w:rsidRPr="00F64263">
          <w:rPr>
            <w:rStyle w:val="Hyperlink"/>
            <w:rFonts w:ascii="Open Sans" w:hAnsi="Open Sans" w:cs="Open Sans"/>
          </w:rPr>
          <w:t>https://www.pluralpublishing.com/cgi-bin/search.cgi</w:t>
        </w:r>
      </w:hyperlink>
    </w:p>
    <w:p w14:paraId="1EF8A220" w14:textId="77777777" w:rsidR="00F64263" w:rsidRPr="00F64263" w:rsidRDefault="00F64263" w:rsidP="00B511B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Open Sans" w:hAnsi="Open Sans" w:cs="Open Sans"/>
          <w:snapToGrid w:val="0"/>
          <w:color w:val="000000"/>
        </w:rPr>
      </w:pPr>
    </w:p>
    <w:p w14:paraId="58B40A4F" w14:textId="3807D163" w:rsidR="00B511BF" w:rsidRPr="00F64263" w:rsidRDefault="00B511BF" w:rsidP="00B511B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Open Sans" w:hAnsi="Open Sans" w:cs="Open Sans"/>
          <w:snapToGrid w:val="0"/>
          <w:color w:val="000000"/>
        </w:rPr>
      </w:pPr>
      <w:r w:rsidRPr="00F64263">
        <w:rPr>
          <w:rFonts w:ascii="Open Sans" w:hAnsi="Open Sans" w:cs="Open Sans"/>
          <w:snapToGrid w:val="0"/>
          <w:color w:val="000000"/>
        </w:rPr>
        <w:t xml:space="preserve">Hurtig, R. &amp; Downey, D. (2009) </w:t>
      </w:r>
      <w:r w:rsidRPr="00F64263">
        <w:rPr>
          <w:rFonts w:ascii="Open Sans" w:hAnsi="Open Sans" w:cs="Open Sans"/>
          <w:snapToGrid w:val="0"/>
          <w:color w:val="000000"/>
          <w:u w:val="single"/>
        </w:rPr>
        <w:t>Augmentative and Alternative Communication in Acute and Critical Care Settings</w:t>
      </w:r>
      <w:r w:rsidRPr="00F64263">
        <w:rPr>
          <w:rFonts w:ascii="Open Sans" w:hAnsi="Open Sans" w:cs="Open Sans"/>
          <w:snapToGrid w:val="0"/>
          <w:color w:val="000000"/>
        </w:rPr>
        <w:t>. Plural Publishing Inc., San Diego, California.</w:t>
      </w:r>
    </w:p>
    <w:p w14:paraId="4A03D805" w14:textId="39210F70" w:rsidR="00852041" w:rsidRPr="00F64263" w:rsidRDefault="0085286A" w:rsidP="00B511B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Open Sans" w:hAnsi="Open Sans" w:cs="Open Sans"/>
          <w:snapToGrid w:val="0"/>
          <w:color w:val="000000"/>
        </w:rPr>
      </w:pPr>
      <w:hyperlink r:id="rId11" w:history="1">
        <w:r w:rsidR="00852041" w:rsidRPr="00F64263">
          <w:rPr>
            <w:rStyle w:val="Hyperlink"/>
            <w:rFonts w:ascii="Open Sans" w:hAnsi="Open Sans" w:cs="Open Sans"/>
            <w:snapToGrid w:val="0"/>
          </w:rPr>
          <w:t>https://www.pluralpublishing.com/publication_aaaciacs.htm</w:t>
        </w:r>
      </w:hyperlink>
    </w:p>
    <w:p w14:paraId="27CECA02" w14:textId="77777777" w:rsidR="00852041" w:rsidRPr="00F64263" w:rsidRDefault="00852041" w:rsidP="00B511B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Open Sans" w:hAnsi="Open Sans" w:cs="Open Sans"/>
          <w:snapToGrid w:val="0"/>
          <w:color w:val="000000"/>
        </w:rPr>
      </w:pPr>
    </w:p>
    <w:p w14:paraId="3706DC63" w14:textId="30B76646" w:rsidR="009329E7" w:rsidRPr="00F64263" w:rsidRDefault="009329E7">
      <w:pPr>
        <w:rPr>
          <w:rFonts w:ascii="Open Sans" w:hAnsi="Open Sans" w:cs="Open Sans"/>
        </w:rPr>
      </w:pPr>
    </w:p>
    <w:sectPr w:rsidR="009329E7" w:rsidRPr="00F64263" w:rsidSect="009B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BF"/>
    <w:rsid w:val="00043DBF"/>
    <w:rsid w:val="004037EF"/>
    <w:rsid w:val="004E5422"/>
    <w:rsid w:val="00852041"/>
    <w:rsid w:val="0085286A"/>
    <w:rsid w:val="009329E7"/>
    <w:rsid w:val="0095126D"/>
    <w:rsid w:val="009637A2"/>
    <w:rsid w:val="009871C4"/>
    <w:rsid w:val="009B6B07"/>
    <w:rsid w:val="00A77A69"/>
    <w:rsid w:val="00B511BF"/>
    <w:rsid w:val="00B73628"/>
    <w:rsid w:val="00CB491A"/>
    <w:rsid w:val="00D23D36"/>
    <w:rsid w:val="00F64263"/>
    <w:rsid w:val="00FC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BF9B5"/>
  <w15:chartTrackingRefBased/>
  <w15:docId w15:val="{A323FBE9-939A-334F-95FE-A88D159E1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11B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B511BF"/>
  </w:style>
  <w:style w:type="paragraph" w:styleId="NormalWeb">
    <w:name w:val="Normal (Web)"/>
    <w:basedOn w:val="Normal"/>
    <w:uiPriority w:val="99"/>
    <w:semiHidden/>
    <w:unhideWhenUsed/>
    <w:rsid w:val="009329E7"/>
    <w:pPr>
      <w:spacing w:before="100" w:beforeAutospacing="1" w:after="100" w:afterAutospacing="1"/>
    </w:pPr>
  </w:style>
  <w:style w:type="character" w:styleId="Hyperlink">
    <w:name w:val="Hyperlink"/>
    <w:basedOn w:val="DefaultParagraphFont"/>
    <w:uiPriority w:val="99"/>
    <w:unhideWhenUsed/>
    <w:rsid w:val="00852041"/>
    <w:rPr>
      <w:color w:val="0563C1" w:themeColor="hyperlink"/>
      <w:u w:val="single"/>
    </w:rPr>
  </w:style>
  <w:style w:type="character" w:styleId="UnresolvedMention">
    <w:name w:val="Unresolved Mention"/>
    <w:basedOn w:val="DefaultParagraphFont"/>
    <w:uiPriority w:val="99"/>
    <w:rsid w:val="00852041"/>
    <w:rPr>
      <w:color w:val="605E5C"/>
      <w:shd w:val="clear" w:color="auto" w:fill="E1DFDD"/>
    </w:rPr>
  </w:style>
  <w:style w:type="character" w:styleId="FollowedHyperlink">
    <w:name w:val="FollowedHyperlink"/>
    <w:basedOn w:val="DefaultParagraphFont"/>
    <w:uiPriority w:val="99"/>
    <w:semiHidden/>
    <w:unhideWhenUsed/>
    <w:rsid w:val="00F64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5894">
      <w:bodyDiv w:val="1"/>
      <w:marLeft w:val="0"/>
      <w:marRight w:val="0"/>
      <w:marTop w:val="0"/>
      <w:marBottom w:val="0"/>
      <w:divBdr>
        <w:top w:val="none" w:sz="0" w:space="0" w:color="auto"/>
        <w:left w:val="none" w:sz="0" w:space="0" w:color="auto"/>
        <w:bottom w:val="none" w:sz="0" w:space="0" w:color="auto"/>
        <w:right w:val="none" w:sz="0" w:space="0" w:color="auto"/>
      </w:divBdr>
    </w:div>
    <w:div w:id="354230729">
      <w:bodyDiv w:val="1"/>
      <w:marLeft w:val="0"/>
      <w:marRight w:val="0"/>
      <w:marTop w:val="0"/>
      <w:marBottom w:val="0"/>
      <w:divBdr>
        <w:top w:val="none" w:sz="0" w:space="0" w:color="auto"/>
        <w:left w:val="none" w:sz="0" w:space="0" w:color="auto"/>
        <w:bottom w:val="none" w:sz="0" w:space="0" w:color="auto"/>
        <w:right w:val="none" w:sz="0" w:space="0" w:color="auto"/>
      </w:divBdr>
    </w:div>
    <w:div w:id="451902684">
      <w:bodyDiv w:val="1"/>
      <w:marLeft w:val="0"/>
      <w:marRight w:val="0"/>
      <w:marTop w:val="0"/>
      <w:marBottom w:val="0"/>
      <w:divBdr>
        <w:top w:val="none" w:sz="0" w:space="0" w:color="auto"/>
        <w:left w:val="none" w:sz="0" w:space="0" w:color="auto"/>
        <w:bottom w:val="none" w:sz="0" w:space="0" w:color="auto"/>
        <w:right w:val="none" w:sz="0" w:space="0" w:color="auto"/>
      </w:divBdr>
    </w:div>
    <w:div w:id="788277053">
      <w:bodyDiv w:val="1"/>
      <w:marLeft w:val="0"/>
      <w:marRight w:val="0"/>
      <w:marTop w:val="0"/>
      <w:marBottom w:val="0"/>
      <w:divBdr>
        <w:top w:val="none" w:sz="0" w:space="0" w:color="auto"/>
        <w:left w:val="none" w:sz="0" w:space="0" w:color="auto"/>
        <w:bottom w:val="none" w:sz="0" w:space="0" w:color="auto"/>
        <w:right w:val="none" w:sz="0" w:space="0" w:color="auto"/>
      </w:divBdr>
    </w:div>
    <w:div w:id="177447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asha.org/doi/full/10.1044/aac15.4.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s.asha.org/doi/abs/10.1044/aac22.2.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s.asha.org/doi/abs/10.1044/aac22.2.91" TargetMode="External"/><Relationship Id="rId11" Type="http://schemas.openxmlformats.org/officeDocument/2006/relationships/hyperlink" Target="https://www.pluralpublishing.com/publication_aaaciacs.htm" TargetMode="External"/><Relationship Id="rId5" Type="http://schemas.openxmlformats.org/officeDocument/2006/relationships/hyperlink" Target="https://pubs.asha.org/doi/abs/10.1044/aac23.3.132" TargetMode="External"/><Relationship Id="rId10" Type="http://schemas.openxmlformats.org/officeDocument/2006/relationships/hyperlink" Target="https://www.pluralpublishing.com/cgi-bin/search.cgi" TargetMode="External"/><Relationship Id="rId4" Type="http://schemas.openxmlformats.org/officeDocument/2006/relationships/hyperlink" Target="https://pubs.asha.org/doi/10.1044/persp3.SIG12.99" TargetMode="External"/><Relationship Id="rId9" Type="http://schemas.openxmlformats.org/officeDocument/2006/relationships/hyperlink" Target="https://www.pluralpublishing.com/publication_pp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Hurtig</dc:creator>
  <cp:keywords/>
  <dc:description/>
  <cp:lastModifiedBy>Richard Hurtig</cp:lastModifiedBy>
  <cp:revision>2</cp:revision>
  <dcterms:created xsi:type="dcterms:W3CDTF">2019-01-23T21:14:00Z</dcterms:created>
  <dcterms:modified xsi:type="dcterms:W3CDTF">2019-01-23T21:14:00Z</dcterms:modified>
</cp:coreProperties>
</file>